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高山水库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高山水库水面承包经营权，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东海县高山水库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东海县李埝乡高山村附近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在《高山水库保护利用总体规划》范围内进行生态养殖项目，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13</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4月14日</w:t>
      </w:r>
      <w:r>
        <w:rPr>
          <w:rFonts w:hint="eastAsia" w:ascii="仿宋" w:hAnsi="仿宋" w:eastAsia="仿宋" w:cs="仿宋"/>
          <w:color w:val="auto"/>
          <w:sz w:val="28"/>
          <w:szCs w:val="21"/>
          <w:highlight w:val="none"/>
          <w:u w:val="none"/>
        </w:rPr>
        <w:t>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2026年4月14日将水面交付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5.甲方在本合同签订之前所发布的东海县高山水库水面竞价承包公告内容与本合同不一致的，以本合同之约定为准。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1A5FB91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B1782"/>
    <w:rsid w:val="125B1782"/>
    <w:rsid w:val="75C9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3043</Words>
  <Characters>3116</Characters>
  <Lines>0</Lines>
  <Paragraphs>0</Paragraphs>
  <TotalTime>0</TotalTime>
  <ScaleCrop>false</ScaleCrop>
  <LinksUpToDate>false</LinksUpToDate>
  <CharactersWithSpaces>3359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2026-03-16T11:41:00Z</dcterms:created>
  <dc:creator>木子李li</dc:creator>
  <cp:lastModifiedBy>木子李li</cp:lastModifiedBy>
  <dcterms:modified xsi:type="dcterms:W3CDTF">2026-03-16T11:44:42Z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A5CFB40E2716404194113AF59D331094_11</vt:lpwstr>
  </property>
  <property fmtid="{D5CDD505-2E9C-101B-9397-08002B2CF9AE}" pid="4" name="KSOTemplateDocerSaveRecord">
    <vt:lpwstr>eyJoZGlkIjoiN2VkMWZmN2Q1MzQ2OWE3ZDJhZTUzZTY3NTU1MWY0NmYiLCJ1c2VySWQiOiIyNzM2MzY2NTkifQ==</vt:lpwstr>
  </property>
</Properties>
</file>